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6600">
    <v:background id="_x0000_s1025" o:bwmode="white" fillcolor="#960">
      <v:fill type="tile"/>
    </v:background>
  </w:background>
  <w:body>
    <w:tbl>
      <w:tblPr>
        <w:tblW w:w="5682" w:type="pct"/>
        <w:jc w:val="center"/>
        <w:tblCellSpacing w:w="20" w:type="dxa"/>
        <w:tblInd w:w="-26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5466"/>
        <w:gridCol w:w="4115"/>
      </w:tblGrid>
      <w:tr w:rsidR="00000000" w:rsidTr="005913B5">
        <w:trPr>
          <w:trHeight w:val="3757"/>
          <w:tblCellSpacing w:w="20" w:type="dxa"/>
          <w:jc w:val="center"/>
        </w:trPr>
        <w:tc>
          <w:tcPr>
            <w:tcW w:w="2833"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000000" w:rsidRDefault="00FD655C">
            <w:pPr>
              <w:bidi/>
              <w:ind w:left="632" w:right="624"/>
              <w:jc w:val="center"/>
              <w:rPr>
                <w:sz w:val="32"/>
                <w:szCs w:val="32"/>
              </w:rPr>
            </w:pPr>
            <w:r>
              <w:rPr>
                <w:noProof/>
                <w:sz w:val="32"/>
                <w:szCs w:val="32"/>
              </w:rPr>
              <w:drawing>
                <wp:inline distT="0" distB="0" distL="0" distR="0" wp14:anchorId="07853CB8" wp14:editId="1D77195D">
                  <wp:extent cx="933450" cy="18097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809750"/>
                          </a:xfrm>
                          <a:prstGeom prst="rect">
                            <a:avLst/>
                          </a:prstGeom>
                          <a:noFill/>
                          <a:ln>
                            <a:noFill/>
                          </a:ln>
                        </pic:spPr>
                      </pic:pic>
                    </a:graphicData>
                  </a:graphic>
                </wp:inline>
              </w:drawing>
            </w:r>
          </w:p>
        </w:tc>
        <w:tc>
          <w:tcPr>
            <w:tcW w:w="2105" w:type="pct"/>
            <w:tcBorders>
              <w:top w:val="outset" w:sz="6" w:space="0" w:color="auto"/>
              <w:left w:val="outset" w:sz="6" w:space="0" w:color="auto"/>
              <w:bottom w:val="outset" w:sz="6" w:space="0" w:color="auto"/>
              <w:right w:val="outset" w:sz="6" w:space="0" w:color="auto"/>
            </w:tcBorders>
            <w:shd w:val="clear" w:color="auto" w:fill="FFFFCC"/>
            <w:vAlign w:val="center"/>
          </w:tcPr>
          <w:p w:rsidR="00000000" w:rsidRDefault="00FD655C">
            <w:pPr>
              <w:pStyle w:val="2"/>
              <w:shd w:val="clear" w:color="auto" w:fill="808000"/>
              <w:ind w:left="353" w:right="327"/>
              <w:jc w:val="center"/>
              <w:rPr>
                <w:rFonts w:ascii="GoudyHandtooled BT" w:eastAsia="Times New Roman" w:hAnsi="GoudyHandtooled BT" w:cs="Guttman Adii-Light"/>
                <w:b w:val="0"/>
                <w:bCs w:val="0"/>
                <w:color w:val="FFFFFF"/>
                <w:sz w:val="72"/>
                <w:szCs w:val="72"/>
              </w:rPr>
            </w:pPr>
            <w:r>
              <w:rPr>
                <w:rFonts w:ascii="GoudyHandtooled BT" w:eastAsia="Times New Roman" w:hAnsi="GoudyHandtooled BT" w:cs="Guttman Adii-Light" w:hint="cs"/>
                <w:b w:val="0"/>
                <w:bCs w:val="0"/>
                <w:color w:val="FFFFFF"/>
                <w:sz w:val="72"/>
                <w:szCs w:val="72"/>
                <w:rtl/>
              </w:rPr>
              <w:t>חכמה מאין</w:t>
            </w:r>
          </w:p>
          <w:p w:rsidR="00000000" w:rsidRDefault="00FD655C">
            <w:pPr>
              <w:shd w:val="clear" w:color="auto" w:fill="808000"/>
              <w:bidi/>
              <w:ind w:left="353" w:right="327"/>
              <w:jc w:val="center"/>
              <w:rPr>
                <w:color w:val="FFFFFF"/>
              </w:rPr>
            </w:pPr>
          </w:p>
          <w:p w:rsidR="00000000" w:rsidRDefault="00FD655C">
            <w:pPr>
              <w:pStyle w:val="3"/>
              <w:shd w:val="clear" w:color="auto" w:fill="808000"/>
              <w:ind w:left="353" w:right="327"/>
              <w:jc w:val="center"/>
              <w:rPr>
                <w:rFonts w:eastAsia="Times New Roman"/>
                <w:color w:val="FFFFFF"/>
              </w:rPr>
            </w:pPr>
            <w:r>
              <w:rPr>
                <w:rFonts w:eastAsia="Times New Roman" w:hint="cs"/>
                <w:color w:val="FFFFFF"/>
                <w:rtl/>
              </w:rPr>
              <w:t>בטאון החברה היונגיאנית</w:t>
            </w:r>
          </w:p>
          <w:p w:rsidR="00000000" w:rsidRDefault="00FD655C">
            <w:pPr>
              <w:shd w:val="clear" w:color="auto" w:fill="808000"/>
              <w:bidi/>
              <w:ind w:left="353" w:right="327"/>
              <w:jc w:val="center"/>
              <w:rPr>
                <w:sz w:val="40"/>
                <w:szCs w:val="40"/>
              </w:rPr>
            </w:pPr>
            <w:r>
              <w:rPr>
                <w:rFonts w:hint="cs"/>
                <w:color w:val="FFFFFF"/>
                <w:sz w:val="40"/>
                <w:szCs w:val="40"/>
                <w:rtl/>
              </w:rPr>
              <w:t>הישראלית החדשה</w:t>
            </w:r>
          </w:p>
          <w:p w:rsidR="00000000" w:rsidRDefault="00FD655C">
            <w:pPr>
              <w:shd w:val="clear" w:color="auto" w:fill="808000"/>
              <w:bidi/>
              <w:ind w:left="353" w:right="327"/>
              <w:jc w:val="center"/>
              <w:rPr>
                <w:sz w:val="40"/>
                <w:szCs w:val="40"/>
              </w:rPr>
            </w:pPr>
          </w:p>
          <w:p w:rsidR="00000000" w:rsidRDefault="00FD655C">
            <w:pPr>
              <w:bidi/>
              <w:ind w:right="131"/>
            </w:pPr>
          </w:p>
          <w:p w:rsidR="00000000" w:rsidRDefault="00FD655C">
            <w:pPr>
              <w:pStyle w:val="a5"/>
              <w:ind w:left="1866"/>
            </w:pPr>
            <w:r>
              <w:rPr>
                <w:rFonts w:hint="cs"/>
                <w:rtl/>
              </w:rPr>
              <w:t xml:space="preserve">סתו 2012 מס' </w:t>
            </w:r>
            <w:r>
              <w:rPr>
                <w:rFonts w:hint="cs"/>
                <w:sz w:val="40"/>
                <w:szCs w:val="40"/>
                <w:rtl/>
              </w:rPr>
              <w:t>7</w:t>
            </w:r>
          </w:p>
          <w:p w:rsidR="00000000" w:rsidRDefault="00FD655C">
            <w:pPr>
              <w:bidi/>
              <w:jc w:val="center"/>
              <w:rPr>
                <w:rtl/>
              </w:rPr>
            </w:pPr>
            <w:r>
              <w:rPr>
                <w:rFonts w:cs="Guttman Keren" w:hint="cs"/>
                <w:b/>
                <w:bCs/>
                <w:color w:val="800000"/>
                <w:sz w:val="48"/>
                <w:szCs w:val="48"/>
                <w:rtl/>
              </w:rPr>
              <w:t>הספר האדום של יונג</w:t>
            </w:r>
          </w:p>
          <w:p w:rsidR="00000000" w:rsidRDefault="00FD655C">
            <w:pPr>
              <w:bidi/>
            </w:pPr>
          </w:p>
        </w:tc>
      </w:tr>
      <w:tr w:rsidR="00000000" w:rsidTr="005913B5">
        <w:trPr>
          <w:trHeight w:val="386"/>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FD655C">
            <w:pPr>
              <w:bidi/>
              <w:spacing w:before="120" w:after="240"/>
              <w:ind w:left="159"/>
            </w:pPr>
            <w:r>
              <w:rPr>
                <w:rFonts w:hint="cs"/>
                <w:rtl/>
              </w:rPr>
              <w:t> </w:t>
            </w:r>
          </w:p>
        </w:tc>
      </w:tr>
      <w:tr w:rsidR="00000000" w:rsidTr="005913B5">
        <w:trPr>
          <w:trHeight w:val="6915"/>
          <w:tblCellSpacing w:w="20" w:type="dxa"/>
          <w:jc w:val="center"/>
        </w:trPr>
        <w:tc>
          <w:tcPr>
            <w:tcW w:w="4958"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FD655C">
            <w:pPr>
              <w:bidi/>
              <w:spacing w:before="120" w:after="156"/>
              <w:ind w:left="673" w:right="567"/>
              <w:rPr>
                <w:sz w:val="28"/>
                <w:szCs w:val="28"/>
              </w:rPr>
            </w:pPr>
          </w:p>
          <w:p w:rsidR="00000000" w:rsidRDefault="00FD655C">
            <w:pPr>
              <w:spacing w:line="300" w:lineRule="exact"/>
              <w:ind w:right="540"/>
              <w:jc w:val="center"/>
              <w:rPr>
                <w:rFonts w:ascii="Arial" w:hAnsi="Arial" w:cs="FrankRuehl" w:hint="cs"/>
                <w:b/>
                <w:bCs/>
                <w:color w:val="0000FF"/>
                <w:sz w:val="32"/>
                <w:szCs w:val="32"/>
                <w:u w:val="single"/>
                <w:rtl/>
              </w:rPr>
            </w:pPr>
            <w:r>
              <w:rPr>
                <w:rFonts w:ascii="Arial" w:hAnsi="Arial" w:cs="FrankRuehl" w:hint="cs"/>
                <w:b/>
                <w:bCs/>
                <w:sz w:val="32"/>
                <w:szCs w:val="32"/>
                <w:u w:val="single"/>
                <w:rtl/>
              </w:rPr>
              <w:t>הקדמה / עדית אנקורי</w:t>
            </w:r>
          </w:p>
          <w:p w:rsidR="00000000" w:rsidRDefault="00FD655C">
            <w:pPr>
              <w:bidi/>
              <w:spacing w:line="300" w:lineRule="exact"/>
              <w:ind w:left="390" w:right="540"/>
              <w:jc w:val="both"/>
              <w:rPr>
                <w:rFonts w:ascii="Arial" w:hAnsi="Arial" w:cs="FrankRuehl"/>
                <w:sz w:val="26"/>
                <w:szCs w:val="26"/>
              </w:rPr>
            </w:pPr>
          </w:p>
          <w:p w:rsidR="00000000" w:rsidRDefault="00FD655C">
            <w:pPr>
              <w:tabs>
                <w:tab w:val="left" w:pos="7766"/>
              </w:tabs>
              <w:bidi/>
              <w:spacing w:line="300" w:lineRule="exact"/>
              <w:ind w:left="390" w:right="540"/>
              <w:jc w:val="both"/>
              <w:rPr>
                <w:rFonts w:ascii="Arial" w:hAnsi="Arial" w:cs="FrankRuehl" w:hint="cs"/>
                <w:sz w:val="26"/>
                <w:szCs w:val="26"/>
                <w:rtl/>
              </w:rPr>
            </w:pPr>
          </w:p>
          <w:p w:rsidR="00000000" w:rsidRDefault="00FD655C">
            <w:pPr>
              <w:bidi/>
              <w:spacing w:line="276" w:lineRule="auto"/>
              <w:ind w:left="390" w:right="540"/>
              <w:jc w:val="both"/>
              <w:rPr>
                <w:rFonts w:ascii="Arial" w:hAnsi="Arial" w:cs="Arial" w:hint="cs"/>
                <w:sz w:val="26"/>
                <w:szCs w:val="26"/>
                <w:rtl/>
              </w:rPr>
            </w:pPr>
            <w:r>
              <w:rPr>
                <w:rFonts w:ascii="Arial" w:hAnsi="Arial" w:cs="Arial"/>
                <w:sz w:val="26"/>
                <w:szCs w:val="26"/>
                <w:rtl/>
              </w:rPr>
              <w:t>באפריל 2009 יצא לאור הספר האדום, יומן אישי  של קרל גוסטב יונג ובו  תיעוד מרתק של חזיונות חלומות ומחשבות, בכתיבה ובציור.</w:t>
            </w:r>
          </w:p>
          <w:p w:rsidR="00000000" w:rsidRDefault="00FD655C">
            <w:pPr>
              <w:bidi/>
              <w:spacing w:line="276" w:lineRule="auto"/>
              <w:ind w:left="390" w:right="540"/>
              <w:jc w:val="both"/>
              <w:rPr>
                <w:rFonts w:ascii="Arial" w:hAnsi="Arial" w:cs="Arial"/>
                <w:sz w:val="26"/>
                <w:szCs w:val="26"/>
                <w:rtl/>
              </w:rPr>
            </w:pPr>
            <w:r>
              <w:rPr>
                <w:rFonts w:ascii="Arial" w:hAnsi="Arial" w:cs="Arial"/>
                <w:sz w:val="26"/>
                <w:szCs w:val="26"/>
                <w:rtl/>
              </w:rPr>
              <w:t xml:space="preserve">יונג </w:t>
            </w:r>
            <w:r>
              <w:rPr>
                <w:rFonts w:ascii="Arial" w:hAnsi="Arial" w:cs="Arial"/>
                <w:sz w:val="26"/>
                <w:szCs w:val="26"/>
                <w:rtl/>
              </w:rPr>
              <w:t xml:space="preserve">ביקש שהספר האדום יישאר בחוג המשפחה, וזאת בשונה מהוראתו לגבי הכתבים המקצועיים שלו. עם זאת ניתן למצוא לא מעט רמזים בדברים שכתב ואמר שמצביעים על כוונה לפרסם את הספר. השאלה כיצד היה יונג מתייחס עתה לפרסום הספר תישאר ככל הנראה בגדר חידה. </w:t>
            </w:r>
          </w:p>
          <w:p w:rsidR="00000000" w:rsidRDefault="00FD655C">
            <w:pPr>
              <w:bidi/>
              <w:spacing w:line="276" w:lineRule="auto"/>
              <w:ind w:left="390" w:right="540"/>
              <w:jc w:val="both"/>
              <w:rPr>
                <w:rFonts w:ascii="Arial" w:hAnsi="Arial" w:cs="Arial"/>
                <w:sz w:val="26"/>
                <w:szCs w:val="26"/>
                <w:rtl/>
              </w:rPr>
            </w:pPr>
            <w:r>
              <w:rPr>
                <w:rFonts w:ascii="Arial" w:hAnsi="Arial" w:cs="Arial"/>
                <w:sz w:val="26"/>
                <w:szCs w:val="26"/>
                <w:rtl/>
              </w:rPr>
              <w:t>מכל מקום, הוראתו המפור</w:t>
            </w:r>
            <w:r>
              <w:rPr>
                <w:rFonts w:ascii="Arial" w:hAnsi="Arial" w:cs="Arial"/>
                <w:sz w:val="26"/>
                <w:szCs w:val="26"/>
                <w:rtl/>
              </w:rPr>
              <w:t xml:space="preserve">שת של יונג הביאה לשמירת הספר רחוק מעין-הצבור במשך עשרות שנים. קיומו היה ידוע, אך רק אחדים מהקרובים ליונג נחשפו אליו, וקטעים קטנים וציורים אחדים מהספר הוצגו פה ושם בכנסים ובתערוכות. כמו כן יונג מתייחס לספר האדום בספרו הביוגרפי שתורגם לעברית "זכרונות חלומות </w:t>
            </w:r>
            <w:r>
              <w:rPr>
                <w:rFonts w:ascii="Arial" w:hAnsi="Arial" w:cs="Arial"/>
                <w:sz w:val="26"/>
                <w:szCs w:val="26"/>
                <w:rtl/>
              </w:rPr>
              <w:t xml:space="preserve">מחשבות".  </w:t>
            </w:r>
          </w:p>
          <w:p w:rsidR="00000000" w:rsidRDefault="00FD655C">
            <w:pPr>
              <w:bidi/>
              <w:spacing w:line="276" w:lineRule="auto"/>
              <w:ind w:left="390" w:right="540"/>
              <w:jc w:val="both"/>
              <w:rPr>
                <w:rFonts w:ascii="Arial" w:hAnsi="Arial" w:cs="Arial"/>
                <w:sz w:val="26"/>
                <w:szCs w:val="26"/>
                <w:rtl/>
              </w:rPr>
            </w:pPr>
            <w:r>
              <w:rPr>
                <w:rFonts w:ascii="Arial" w:hAnsi="Arial" w:cs="Arial"/>
                <w:sz w:val="26"/>
                <w:szCs w:val="26"/>
                <w:rtl/>
              </w:rPr>
              <w:t xml:space="preserve">עם פרסום הספר האדום התגלה מה עבר על יונג במשך שנות כתיבתו ובכך מתפזר במעט ערפל המסתורין שאפף את הספר. </w:t>
            </w:r>
          </w:p>
          <w:p w:rsidR="00000000" w:rsidRDefault="00FD655C">
            <w:pPr>
              <w:bidi/>
              <w:spacing w:line="276" w:lineRule="auto"/>
              <w:ind w:left="390" w:right="540"/>
              <w:jc w:val="both"/>
              <w:rPr>
                <w:rFonts w:ascii="Arial" w:hAnsi="Arial" w:cs="Arial"/>
                <w:sz w:val="26"/>
                <w:szCs w:val="26"/>
                <w:rtl/>
              </w:rPr>
            </w:pPr>
            <w:r>
              <w:rPr>
                <w:rFonts w:ascii="Arial" w:hAnsi="Arial" w:cs="Arial"/>
                <w:sz w:val="26"/>
                <w:szCs w:val="26"/>
                <w:rtl/>
              </w:rPr>
              <w:t>אולם גילוי והסתר בצדו. מאחר ששפת הספר היא  שפת מעמקי הנפש, היא נשמעת לעתים כשפת-סתרים המעמידה בפנינו חידות לצד גילויים ומהווה ניסיון למסור במי</w:t>
            </w:r>
            <w:r>
              <w:rPr>
                <w:rFonts w:ascii="Arial" w:hAnsi="Arial" w:cs="Arial"/>
                <w:sz w:val="26"/>
                <w:szCs w:val="26"/>
                <w:rtl/>
              </w:rPr>
              <w:t>לים את מה שמילים אינן יכולות להכיל. ואכן, לא בכדי הכתיבה מלווה איורים וציורים צבעוניים עמוסי סמלים פרי מכחולו של יונג. הספר כתוב בכתב יד גותי, הוא מרהיב ביופיו והמראה הימי-ביניימי משדר אף הוא  מסתורין.</w:t>
            </w:r>
          </w:p>
          <w:p w:rsidR="00000000" w:rsidRDefault="00FD655C">
            <w:pPr>
              <w:bidi/>
              <w:spacing w:line="276" w:lineRule="auto"/>
              <w:ind w:left="390" w:right="540"/>
              <w:jc w:val="both"/>
              <w:rPr>
                <w:rFonts w:ascii="Arial" w:hAnsi="Arial" w:cs="Arial"/>
                <w:sz w:val="26"/>
                <w:szCs w:val="26"/>
                <w:rtl/>
              </w:rPr>
            </w:pPr>
            <w:r>
              <w:rPr>
                <w:rFonts w:ascii="Arial" w:hAnsi="Arial" w:cs="Arial"/>
                <w:sz w:val="26"/>
                <w:szCs w:val="26"/>
                <w:rtl/>
              </w:rPr>
              <w:t>יונג החל לכתוב את הספר כיומן בשנת 1913 בהיותו בן 38. ה</w:t>
            </w:r>
            <w:r>
              <w:rPr>
                <w:rFonts w:ascii="Arial" w:hAnsi="Arial" w:cs="Arial"/>
                <w:sz w:val="26"/>
                <w:szCs w:val="26"/>
                <w:rtl/>
              </w:rPr>
              <w:t xml:space="preserve">וא היה אז בעיצומה של הצלחה בעולם המקצועי בתחום  הפסיכיאטריה ובתוך משבר אישי קשה. </w:t>
            </w:r>
          </w:p>
          <w:p w:rsidR="00000000" w:rsidRDefault="00FD655C">
            <w:pPr>
              <w:bidi/>
              <w:spacing w:line="276" w:lineRule="auto"/>
              <w:ind w:left="390" w:right="540"/>
              <w:jc w:val="both"/>
              <w:rPr>
                <w:rFonts w:ascii="Arial" w:hAnsi="Arial" w:cs="Arial"/>
                <w:sz w:val="26"/>
                <w:szCs w:val="26"/>
                <w:rtl/>
              </w:rPr>
            </w:pPr>
            <w:r>
              <w:rPr>
                <w:rFonts w:ascii="Arial" w:hAnsi="Arial" w:cs="Arial"/>
                <w:sz w:val="26"/>
                <w:szCs w:val="26"/>
                <w:rtl/>
              </w:rPr>
              <w:t xml:space="preserve">בשנת  1907 פגש יונג את זיגמונד פרויד והם נעשו קרובים מאד כידידים וכעמיתים </w:t>
            </w:r>
            <w:r>
              <w:rPr>
                <w:rFonts w:ascii="Arial" w:hAnsi="Arial" w:cs="Arial"/>
                <w:sz w:val="26"/>
                <w:szCs w:val="26"/>
                <w:rtl/>
              </w:rPr>
              <w:lastRenderedPageBreak/>
              <w:t>למקצוע. למרות שכבר בראשיתו של הקשר היו ליונג השגות קלות על תפיסתו של פרויד, ראה בו זה את ממשיך דרכו,</w:t>
            </w:r>
            <w:r>
              <w:rPr>
                <w:rFonts w:ascii="Arial" w:hAnsi="Arial" w:cs="Arial"/>
                <w:sz w:val="26"/>
                <w:szCs w:val="26"/>
                <w:rtl/>
              </w:rPr>
              <w:t xml:space="preserve"> ויונג לקח חלק נכבד בהפצת התיאוריה הפסיכואנליטית. אולם פער התפיסות הלך והעמיק עד לפרידה כואבת בין שני האישים בשנת  1912. </w:t>
            </w:r>
          </w:p>
          <w:p w:rsidR="00000000" w:rsidRDefault="00FD655C">
            <w:pPr>
              <w:bidi/>
              <w:spacing w:line="276" w:lineRule="auto"/>
              <w:ind w:left="390" w:right="540"/>
              <w:jc w:val="both"/>
              <w:rPr>
                <w:rFonts w:ascii="Arial" w:hAnsi="Arial" w:cs="Arial"/>
                <w:sz w:val="26"/>
                <w:szCs w:val="26"/>
                <w:rtl/>
              </w:rPr>
            </w:pPr>
            <w:r>
              <w:rPr>
                <w:rFonts w:ascii="Arial" w:hAnsi="Arial" w:cs="Arial"/>
                <w:sz w:val="26"/>
                <w:szCs w:val="26"/>
                <w:rtl/>
              </w:rPr>
              <w:t>יונג מעיד על עצמו, שעם הפרידה מפרויד נקלע למשבר נפשי קשה וחווה תחושה של אבדן דרך. הוא נפרד מן הידוע והמוכר  ועדיין לא גילה את דרכו העצ</w:t>
            </w:r>
            <w:r>
              <w:rPr>
                <w:rFonts w:ascii="Arial" w:hAnsi="Arial" w:cs="Arial"/>
                <w:sz w:val="26"/>
                <w:szCs w:val="26"/>
                <w:rtl/>
              </w:rPr>
              <w:t xml:space="preserve">מאית. </w:t>
            </w:r>
          </w:p>
          <w:p w:rsidR="00000000" w:rsidRDefault="00FD655C">
            <w:pPr>
              <w:bidi/>
              <w:spacing w:line="276" w:lineRule="auto"/>
              <w:ind w:left="390" w:right="540"/>
              <w:jc w:val="both"/>
              <w:rPr>
                <w:rFonts w:ascii="Arial" w:hAnsi="Arial" w:cs="Arial"/>
                <w:sz w:val="26"/>
                <w:szCs w:val="26"/>
                <w:rtl/>
              </w:rPr>
            </w:pPr>
            <w:r>
              <w:rPr>
                <w:rFonts w:ascii="Arial" w:hAnsi="Arial" w:cs="Arial"/>
                <w:sz w:val="26"/>
                <w:szCs w:val="26"/>
                <w:rtl/>
              </w:rPr>
              <w:t>אחד הנושאים שהעמיקו את המרחק בין שני האישים היה משיכתו של יונג אל תורות הנסתר, והעמדה השוללת של פרויד כלפי התעניינות זו. בתקופת המשבר יונג מצא את עצמו מול חזיונות שעלו ממעמקי הלא-מודע שלו וכפו את עצמם עליו בעוצמה ובאינטנסיביות.</w:t>
            </w:r>
          </w:p>
          <w:p w:rsidR="00000000" w:rsidRDefault="00FD655C">
            <w:pPr>
              <w:bidi/>
              <w:spacing w:line="276" w:lineRule="auto"/>
              <w:ind w:left="390" w:right="540"/>
              <w:jc w:val="both"/>
              <w:rPr>
                <w:rFonts w:ascii="Arial" w:hAnsi="Arial" w:cs="Arial"/>
                <w:sz w:val="26"/>
                <w:szCs w:val="26"/>
                <w:rtl/>
              </w:rPr>
            </w:pPr>
            <w:r>
              <w:rPr>
                <w:rFonts w:ascii="Arial" w:hAnsi="Arial" w:cs="Arial"/>
                <w:sz w:val="26"/>
                <w:szCs w:val="26"/>
                <w:rtl/>
              </w:rPr>
              <w:t>יונג  נסוג מהעולם החי</w:t>
            </w:r>
            <w:r>
              <w:rPr>
                <w:rFonts w:ascii="Arial" w:hAnsi="Arial" w:cs="Arial"/>
                <w:sz w:val="26"/>
                <w:szCs w:val="26"/>
                <w:rtl/>
              </w:rPr>
              <w:t xml:space="preserve">צוני של הקריירה. הוא התפטר ממשרתו כמרצה באוניברסיטת ציריך ומהנשיאות של האגודה הפסיכואנליטית והתמסר באופן מלא לחקר עולמו הפנימי, לקולות ולתמונות שהעמידו עצמן לפניו. </w:t>
            </w:r>
          </w:p>
          <w:p w:rsidR="00000000" w:rsidRDefault="00FD655C">
            <w:pPr>
              <w:bidi/>
              <w:spacing w:line="276" w:lineRule="auto"/>
              <w:ind w:left="390" w:right="540"/>
              <w:jc w:val="both"/>
              <w:rPr>
                <w:rFonts w:ascii="Arial" w:hAnsi="Arial" w:cs="Arial"/>
                <w:sz w:val="26"/>
                <w:szCs w:val="26"/>
                <w:rtl/>
              </w:rPr>
            </w:pPr>
            <w:r>
              <w:rPr>
                <w:rFonts w:ascii="Arial" w:hAnsi="Arial" w:cs="Arial"/>
                <w:sz w:val="26"/>
                <w:szCs w:val="26"/>
                <w:rtl/>
              </w:rPr>
              <w:t>יונג יצא למסעות בתוך נפשו, לעתים מסעות קשים ומפחידים. דימויים שעלו בו חשפו בפניו מקומות ומר</w:t>
            </w:r>
            <w:r>
              <w:rPr>
                <w:rFonts w:ascii="Arial" w:hAnsi="Arial" w:cs="Arial"/>
                <w:sz w:val="26"/>
                <w:szCs w:val="26"/>
                <w:rtl/>
              </w:rPr>
              <w:t>חבים לאו דווקא אוהדים, כמו מדבר, גיהינום או תהום חשוכה. הופיעו דמויות, חלקן מהמיתולוגיה, מהתנ"ך או מהברית החדשה, ויונג כתב את הדיאלוגים שלו אתן וצייר אותן. בהמשך מסעות אלה הגיעו גם הפירות והתגלו האוצרות.</w:t>
            </w:r>
          </w:p>
          <w:p w:rsidR="00000000" w:rsidRDefault="00FD655C">
            <w:pPr>
              <w:bidi/>
              <w:spacing w:line="276" w:lineRule="auto"/>
              <w:ind w:left="390" w:right="540"/>
              <w:jc w:val="both"/>
              <w:rPr>
                <w:rFonts w:ascii="Arial" w:hAnsi="Arial" w:cs="Arial"/>
                <w:sz w:val="26"/>
                <w:szCs w:val="26"/>
                <w:rtl/>
              </w:rPr>
            </w:pPr>
            <w:r>
              <w:rPr>
                <w:rFonts w:ascii="Arial" w:hAnsi="Arial" w:cs="Arial"/>
                <w:sz w:val="26"/>
                <w:szCs w:val="26"/>
                <w:rtl/>
              </w:rPr>
              <w:t>לעת זקנתו, בשנת  1957, יונג התייחס לתקופה של כתיבת ה</w:t>
            </w:r>
            <w:r>
              <w:rPr>
                <w:rFonts w:ascii="Arial" w:hAnsi="Arial" w:cs="Arial"/>
                <w:sz w:val="26"/>
                <w:szCs w:val="26"/>
                <w:rtl/>
              </w:rPr>
              <w:t>יומן במילים אלו:</w:t>
            </w:r>
          </w:p>
          <w:p w:rsidR="00000000" w:rsidRDefault="00FD655C">
            <w:pPr>
              <w:tabs>
                <w:tab w:val="left" w:pos="8306"/>
              </w:tabs>
              <w:bidi/>
              <w:spacing w:line="276" w:lineRule="auto"/>
              <w:ind w:left="390" w:right="540"/>
              <w:jc w:val="both"/>
              <w:rPr>
                <w:rFonts w:ascii="Arial" w:hAnsi="Arial" w:cs="Arial"/>
                <w:sz w:val="26"/>
                <w:szCs w:val="26"/>
                <w:rtl/>
              </w:rPr>
            </w:pPr>
            <w:r>
              <w:rPr>
                <w:rFonts w:ascii="Arial" w:hAnsi="Arial" w:cs="Arial"/>
                <w:sz w:val="26"/>
                <w:szCs w:val="26"/>
                <w:rtl/>
              </w:rPr>
              <w:t>השנים עליהן סיפרתי לכם, כאשר הלכתי בעקבות הדימויים הפנימיים, היוו את התקופה החשובה ביותר בחיי. כל דבר אחר נבע משם. אז זה התחיל, והפרטים המאוחרים יותר אינם כה חשובים.</w:t>
            </w:r>
          </w:p>
          <w:p w:rsidR="00000000" w:rsidRDefault="00FD655C">
            <w:pPr>
              <w:tabs>
                <w:tab w:val="left" w:pos="8306"/>
              </w:tabs>
              <w:bidi/>
              <w:spacing w:line="276" w:lineRule="auto"/>
              <w:ind w:left="390" w:right="540"/>
              <w:jc w:val="both"/>
              <w:rPr>
                <w:rFonts w:ascii="Arial" w:hAnsi="Arial" w:cs="Arial"/>
                <w:sz w:val="26"/>
                <w:szCs w:val="26"/>
                <w:rtl/>
              </w:rPr>
            </w:pPr>
            <w:r>
              <w:rPr>
                <w:rFonts w:ascii="Arial" w:hAnsi="Arial" w:cs="Arial"/>
                <w:sz w:val="26"/>
                <w:szCs w:val="26"/>
                <w:rtl/>
              </w:rPr>
              <w:t>כל חיי היו בנויים מעיבוד של מה שפרץ מהלא-מודע ושטף אותי כמו זרם אנרגטי שא</w:t>
            </w:r>
            <w:r>
              <w:rPr>
                <w:rFonts w:ascii="Arial" w:hAnsi="Arial" w:cs="Arial"/>
                <w:sz w:val="26"/>
                <w:szCs w:val="26"/>
                <w:rtl/>
              </w:rPr>
              <w:t>יים לרסק אותי.</w:t>
            </w:r>
          </w:p>
          <w:p w:rsidR="00000000" w:rsidRDefault="00FD655C">
            <w:pPr>
              <w:tabs>
                <w:tab w:val="left" w:pos="8306"/>
              </w:tabs>
              <w:bidi/>
              <w:spacing w:after="240" w:line="276" w:lineRule="auto"/>
              <w:ind w:left="390" w:right="540"/>
              <w:jc w:val="both"/>
              <w:rPr>
                <w:rFonts w:ascii="Arial" w:hAnsi="Arial" w:cs="Arial"/>
                <w:sz w:val="26"/>
                <w:szCs w:val="26"/>
                <w:rtl/>
              </w:rPr>
            </w:pPr>
            <w:r>
              <w:rPr>
                <w:rFonts w:ascii="Arial" w:hAnsi="Arial" w:cs="Arial"/>
                <w:sz w:val="26"/>
                <w:szCs w:val="26"/>
                <w:rtl/>
              </w:rPr>
              <w:t xml:space="preserve">היה זה חומר גלם בשביל יותר מאשר מחזור חיים אחד. כל מה שבא אחר כך היה רק הסיווג החיצוני, העיבוד המדעי וההטמעה של התכנים לתוך החיים. אך ההתחלה הנומינוזית, שהכילה כל דבר, הייתה אז. (מתוך הפרולוג לספר האדום) </w:t>
            </w:r>
          </w:p>
          <w:p w:rsidR="00000000" w:rsidRDefault="00FD655C">
            <w:pPr>
              <w:bidi/>
              <w:spacing w:line="276" w:lineRule="auto"/>
              <w:ind w:left="390" w:right="540"/>
              <w:jc w:val="both"/>
              <w:rPr>
                <w:rFonts w:ascii="Arial" w:hAnsi="Arial" w:cs="Arial"/>
                <w:sz w:val="26"/>
                <w:szCs w:val="26"/>
                <w:rtl/>
              </w:rPr>
            </w:pPr>
            <w:r>
              <w:rPr>
                <w:rFonts w:ascii="Arial" w:hAnsi="Arial" w:cs="Arial"/>
                <w:sz w:val="26"/>
                <w:szCs w:val="26"/>
                <w:rtl/>
              </w:rPr>
              <w:t xml:space="preserve">קריאה  בספר האדום כמוה  </w:t>
            </w:r>
            <w:r>
              <w:rPr>
                <w:rFonts w:ascii="Arial" w:hAnsi="Arial" w:cs="Arial"/>
                <w:sz w:val="26"/>
                <w:szCs w:val="26"/>
                <w:rtl/>
              </w:rPr>
              <w:t>כמסע לאחור במנהרת הידע אל מקורות צמיחתו. ניתן לראות בספר את הגילוי האותנטי והנרגש של כל החומרים מהם  חצב יונג את תפיסת הנפש שלו. ניתן לפגוש בספר האדום את המקורות העמוקים של המושגים והסמלים שהפכו אבני יסוד בתיאוריה של יונג: ה"עצמי", ה"צל", ה"אנימה"; ניתן לר</w:t>
            </w:r>
            <w:r>
              <w:rPr>
                <w:rFonts w:ascii="Arial" w:hAnsi="Arial" w:cs="Arial"/>
                <w:sz w:val="26"/>
                <w:szCs w:val="26"/>
                <w:rtl/>
              </w:rPr>
              <w:t>אות שם את לידת האמונה בתכלית ההתפתחותית שטבועה בנפש האדם, את ההתמודדות עם שאלות של דת ושל רוחניות ועוד. אכן, על תפיסתו של יונג אפשר לומר שהיא  תורה  שנחצבה מתהומות נפשו.</w:t>
            </w:r>
          </w:p>
          <w:p w:rsidR="00000000" w:rsidRDefault="00FD655C">
            <w:pPr>
              <w:rPr>
                <w:rFonts w:ascii="Arial" w:hAnsi="Arial" w:cs="Arial"/>
              </w:rPr>
            </w:pPr>
          </w:p>
        </w:tc>
      </w:tr>
    </w:tbl>
    <w:p w:rsidR="00FD655C" w:rsidRDefault="00FD655C" w:rsidP="005913B5">
      <w:pPr>
        <w:pStyle w:val="NormalWeb"/>
        <w:spacing w:after="240" w:afterAutospacing="0"/>
        <w:rPr>
          <w:b/>
          <w:bCs/>
          <w:sz w:val="28"/>
          <w:szCs w:val="28"/>
        </w:rPr>
      </w:pPr>
      <w:bookmarkStart w:id="0" w:name="_GoBack"/>
      <w:bookmarkEnd w:id="0"/>
    </w:p>
    <w:sectPr w:rsidR="00FD655C">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oudyHandtooled BT">
    <w:altName w:val="Courier New"/>
    <w:panose1 w:val="04020604050203030203"/>
    <w:charset w:val="00"/>
    <w:family w:val="decorative"/>
    <w:pitch w:val="variable"/>
    <w:sig w:usb0="00000087" w:usb1="00000000" w:usb2="00000000" w:usb3="00000000" w:csb0="0000001B" w:csb1="00000000"/>
  </w:font>
  <w:font w:name="Guttman Adii-Light">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compat>
    <w:applyBreakingRules/>
    <w:doNotVertAlignCellWithSp/>
    <w:doNotBreakConstrainedForcedTable/>
    <w:doNotVertAlignInTxbx/>
    <w:useAnsiKerningPairs/>
    <w:cachedColBalance/>
    <w:compatSetting w:name="compatibilityMode" w:uri="http://schemas.microsoft.com/office/word" w:val="14"/>
  </w:compat>
  <w:rsids>
    <w:rsidRoot w:val="00AD04AF"/>
    <w:rsid w:val="005913B5"/>
    <w:rsid w:val="00AD04AF"/>
    <w:rsid w:val="00FD65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rPr>
      <w:rFonts w:ascii="Tahoma" w:hAnsi="Tahoma" w:cs="Tahoma"/>
      <w:sz w:val="16"/>
      <w:szCs w:val="16"/>
    </w:rPr>
  </w:style>
  <w:style w:type="paragraph" w:customStyle="1" w:styleId="Heading1">
    <w:name w:val="Heading 1"/>
    <w:basedOn w:val="a"/>
    <w:link w:val="Heading1Cha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2">
    <w:name w:val="Heading 2"/>
    <w:basedOn w:val="a"/>
    <w:link w:val="Heading2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3">
    <w:name w:val="Heading 3"/>
    <w:basedOn w:val="a"/>
    <w:link w:val="Heading3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Title">
    <w:name w:val="Title"/>
    <w:basedOn w:val="a"/>
    <w:link w:val="Title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BodyTextIndent">
    <w:name w:val="Body Text Indent"/>
    <w:basedOn w:val="a"/>
    <w:link w:val="BodyTextIndentChar"/>
  </w:style>
  <w:style w:type="character" w:customStyle="1" w:styleId="BodyTextIndentChar">
    <w:name w:val="Body Text Indent Char"/>
    <w:basedOn w:val="a0"/>
    <w:link w:val="BodyTextIndent"/>
    <w:locked/>
    <w:rPr>
      <w:sz w:val="24"/>
      <w:szCs w:val="24"/>
    </w:rPr>
  </w:style>
  <w:style w:type="paragraph" w:customStyle="1" w:styleId="BalloonText">
    <w:name w:val="Balloon Text"/>
    <w:basedOn w:val="a"/>
    <w:link w:val="BalloonTextChar"/>
  </w:style>
  <w:style w:type="character" w:customStyle="1" w:styleId="BalloonTextChar">
    <w:name w:val="Balloon Text Char"/>
    <w:basedOn w:val="a0"/>
    <w:link w:val="BalloonText"/>
    <w:locked/>
    <w:rPr>
      <w:rFonts w:ascii="Tahoma" w:hAnsi="Tahoma" w:cs="Tahoma" w:hint="default"/>
      <w:sz w:val="16"/>
      <w:szCs w:val="16"/>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rPr>
      <w:rFonts w:ascii="Tahoma" w:hAnsi="Tahoma" w:cs="Tahoma"/>
      <w:sz w:val="16"/>
      <w:szCs w:val="16"/>
    </w:rPr>
  </w:style>
  <w:style w:type="paragraph" w:customStyle="1" w:styleId="Heading1">
    <w:name w:val="Heading 1"/>
    <w:basedOn w:val="a"/>
    <w:link w:val="Heading1Cha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2">
    <w:name w:val="Heading 2"/>
    <w:basedOn w:val="a"/>
    <w:link w:val="Heading2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3">
    <w:name w:val="Heading 3"/>
    <w:basedOn w:val="a"/>
    <w:link w:val="Heading3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Title">
    <w:name w:val="Title"/>
    <w:basedOn w:val="a"/>
    <w:link w:val="Title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BodyTextIndent">
    <w:name w:val="Body Text Indent"/>
    <w:basedOn w:val="a"/>
    <w:link w:val="BodyTextIndentChar"/>
  </w:style>
  <w:style w:type="character" w:customStyle="1" w:styleId="BodyTextIndentChar">
    <w:name w:val="Body Text Indent Char"/>
    <w:basedOn w:val="a0"/>
    <w:link w:val="BodyTextIndent"/>
    <w:locked/>
    <w:rPr>
      <w:sz w:val="24"/>
      <w:szCs w:val="24"/>
    </w:rPr>
  </w:style>
  <w:style w:type="paragraph" w:customStyle="1" w:styleId="BalloonText">
    <w:name w:val="Balloon Text"/>
    <w:basedOn w:val="a"/>
    <w:link w:val="BalloonTextChar"/>
  </w:style>
  <w:style w:type="character" w:customStyle="1" w:styleId="BalloonTextChar">
    <w:name w:val="Balloon Text Char"/>
    <w:basedOn w:val="a0"/>
    <w:link w:val="BalloonText"/>
    <w:locked/>
    <w:rPr>
      <w:rFonts w:ascii="Tahoma" w:hAnsi="Tahoma" w:cs="Tahoma" w:hint="default"/>
      <w:sz w:val="16"/>
      <w:szCs w:val="16"/>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2895</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The new Israeli Jungian society</vt:lpstr>
    </vt:vector>
  </TitlesOfParts>
  <Company>*</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dc:title>
  <dc:creator>מיכה</dc:creator>
  <cp:lastModifiedBy>user</cp:lastModifiedBy>
  <cp:revision>3</cp:revision>
  <dcterms:created xsi:type="dcterms:W3CDTF">2015-07-16T04:11:00Z</dcterms:created>
  <dcterms:modified xsi:type="dcterms:W3CDTF">2015-07-16T04:12:00Z</dcterms:modified>
</cp:coreProperties>
</file>