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type="tile"/>
    </v:background>
  </w:background>
  <w:body>
    <w:p w:rsidR="00000000" w:rsidRDefault="003E3F7F">
      <w:pPr>
        <w:bidi/>
        <w:ind w:left="1185"/>
        <w:jc w:val="center"/>
      </w:pPr>
    </w:p>
    <w:p w:rsidR="00000000" w:rsidRDefault="003E3F7F">
      <w:pPr>
        <w:jc w:val="center"/>
      </w:pPr>
    </w:p>
    <w:tbl>
      <w:tblPr>
        <w:tblW w:w="5745" w:type="pct"/>
        <w:jc w:val="center"/>
        <w:tblCellSpacing w:w="20" w:type="dxa"/>
        <w:tblInd w:w="-27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</w:tblGrid>
      <w:tr w:rsidR="00000000" w:rsidTr="006E598A">
        <w:trPr>
          <w:trHeight w:val="1395"/>
          <w:tblCellSpacing w:w="20" w:type="dxa"/>
          <w:jc w:val="center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3E3F7F">
            <w:pPr>
              <w:bidi/>
              <w:ind w:left="154"/>
            </w:pPr>
          </w:p>
          <w:p w:rsidR="00000000" w:rsidRDefault="003E3F7F">
            <w:pPr>
              <w:bidi/>
              <w:spacing w:line="360" w:lineRule="auto"/>
              <w:ind w:right="7886"/>
              <w:jc w:val="center"/>
              <w:rPr>
                <w:rFonts w:cs="David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  <w:br/>
              <w:t>הקולנוע מטפל בנו</w:t>
            </w:r>
          </w:p>
          <w:p w:rsidR="00000000" w:rsidRDefault="003E3F7F">
            <w:pPr>
              <w:bidi/>
              <w:spacing w:line="360" w:lineRule="auto"/>
              <w:ind w:right="7886"/>
              <w:jc w:val="center"/>
              <w:rPr>
                <w:rFonts w:cs="David"/>
                <w:b/>
                <w:bCs/>
                <w:color w:val="000000"/>
                <w:u w:val="single"/>
              </w:rPr>
            </w:pPr>
            <w:r>
              <w:rPr>
                <w:rFonts w:cs="David" w:hint="cs"/>
                <w:b/>
                <w:bCs/>
                <w:color w:val="000000"/>
                <w:u w:val="single"/>
                <w:rtl/>
              </w:rPr>
              <w:t xml:space="preserve">יחסי מטפל מטופל בקולנוע  </w:t>
            </w:r>
          </w:p>
          <w:p w:rsidR="00000000" w:rsidRDefault="003E3F7F">
            <w:pPr>
              <w:bidi/>
              <w:spacing w:line="360" w:lineRule="auto"/>
              <w:ind w:right="7886"/>
              <w:jc w:val="center"/>
              <w:rPr>
                <w:rFonts w:cs="David" w:hint="cs"/>
                <w:b/>
                <w:bCs/>
                <w:color w:val="00000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רות נצר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</w:p>
          <w:p w:rsidR="00000000" w:rsidRDefault="003E3F7F">
            <w:pPr>
              <w:bidi/>
              <w:spacing w:line="360" w:lineRule="auto"/>
              <w:ind w:left="462" w:right="1366"/>
              <w:jc w:val="center"/>
              <w:rPr>
                <w:rFonts w:asciiTheme="minorBidi" w:hAnsiTheme="minorBidi" w:cstheme="minorBidi" w:hint="cs"/>
                <w:color w:val="000000"/>
                <w:sz w:val="26"/>
                <w:szCs w:val="26"/>
                <w:u w:val="single"/>
                <w:rtl/>
              </w:rPr>
            </w:pPr>
          </w:p>
          <w:p w:rsidR="00000000" w:rsidRDefault="003E3F7F">
            <w:pPr>
              <w:bidi/>
              <w:spacing w:line="360" w:lineRule="auto"/>
              <w:ind w:left="462" w:right="1366"/>
              <w:jc w:val="both"/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7899B79A" wp14:editId="3C257539">
                  <wp:simplePos x="0" y="0"/>
                  <wp:positionH relativeFrom="margin">
                    <wp:align>left</wp:align>
                  </wp:positionH>
                  <wp:positionV relativeFrom="margin">
                    <wp:posOffset>2752725</wp:posOffset>
                  </wp:positionV>
                  <wp:extent cx="2523490" cy="3675380"/>
                  <wp:effectExtent l="0" t="0" r="0" b="1270"/>
                  <wp:wrapSquare wrapText="bothSides"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367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הספר פותח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בהבטים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 הפסיכולוגיים והמרפאים שיש בקולנוע, עבור יוצריו וצופיו, כשהיחסים בין הקולנוע והצופה הם ביטוי ליחסי מטפל-מטופל הדדיים.</w:t>
            </w:r>
          </w:p>
          <w:p w:rsidR="00000000" w:rsidRDefault="003E3F7F">
            <w:pPr>
              <w:bidi/>
              <w:spacing w:line="360" w:lineRule="auto"/>
              <w:ind w:left="462" w:right="1366"/>
              <w:jc w:val="both"/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עיקר הספר עוסק בסרטים שעוסקים 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בטיפול הנפשי. הקולנוע משקף את הטיפול הנפשי כמבוסס על ההיבטים הרגשיים של היחסים הטיפוליים, ולא על הפרשנות והתובנה של עולמו הפנימי של המטופל. </w:t>
            </w:r>
          </w:p>
          <w:p w:rsidR="00000000" w:rsidRDefault="003E3F7F">
            <w:pPr>
              <w:bidi/>
              <w:spacing w:line="360" w:lineRule="auto"/>
              <w:ind w:left="462" w:right="1366"/>
              <w:jc w:val="both"/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הספר מתבונן בהיבטים הבסיסיים, הארכיטיפיים, שמרכיבים יחסי מטפל-מטופל, במבט של סימבוליקה יונגיאנית בתוך הקשר מיתי. יח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סי העברה והעברת נגד נבחנים בהיבטים החיוביים כמו גם  בסכנות הטמונות בהם , בכוח המרפא והגאולה שבהם כמו גם  בכוח ההרס והניצול. מערכת יחסים ייחודית זו, שהיא היררכית והדדית כאחת, כוללת את פצעיהם וצלליהם של המטפל והמטופל, והיא מאפשרת תהליכי שינוי בשרות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האינדבידו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אציה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. כל אלה נבחנים בייצוגם בקולנוע.</w:t>
            </w:r>
          </w:p>
          <w:p w:rsidR="00000000" w:rsidRDefault="003E3F7F">
            <w:pPr>
              <w:bidi/>
              <w:spacing w:line="360" w:lineRule="auto"/>
              <w:ind w:left="462" w:right="1366"/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הקולנוע, כבר מראשיתו, "אוהב" את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השגעון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, נוטה לתאר מערכות יחסים קיצוניות, לשבור את גבולות הטיפול המקובלים, ואף לתאר לעתים את המטפל כבעייתי, ולעתים כבעייתי ביותר וחולה. כנגד זאת הקולנוע מבטא את הפנטזיה לקשר אינטימי בין 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>מטפל-מטופל, קשר עמוק וקרוב כיחסי אהבה מלאים, שאינו אפשרי במסגרת הטיפול הנפשי. בכל אלה, הקולנוע שעוסק ביחסי מטפל-מטופל הוא כמו חלום קולקטיבי  של יוצרי הסרט, הצופים, והמטפלים. בספר זה בוחנת המחברת עשרות סרטים שעוסקים בטפול נפשי בהיבטיהם השונים, ואת הסיבות הס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t xml:space="preserve">מויות האפשריות לאופן עיצובם של סרטים אלה. המחברת מגלה כיצד 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  <w:rtl/>
              </w:rPr>
              <w:lastRenderedPageBreak/>
              <w:t xml:space="preserve">הקולנוע מהווה מראָה למטפלים שבה הם רואים כיצד הם נתפשים במלוא מורכבותם, וכיצד כמורה דרך הקולנוע מאתגר ומלמד אותנו איך להיות אנשים ומטפלים טובים יותר.  </w:t>
            </w:r>
          </w:p>
          <w:p w:rsidR="00000000" w:rsidRDefault="003E3F7F">
            <w:pPr>
              <w:bidi/>
              <w:spacing w:line="360" w:lineRule="auto"/>
              <w:ind w:left="462" w:right="1366"/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000000" w:rsidRDefault="003E3F7F">
            <w:pPr>
              <w:bidi/>
              <w:spacing w:line="360" w:lineRule="auto"/>
              <w:ind w:left="462" w:right="1366"/>
              <w:jc w:val="both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"בגישתה לנושא ובכתיבתה ניכרת הסכין האנליטית </w:t>
            </w: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של רות אשר בוחנת את הקולנוע כסוכן טיפולי מהיבטיו השונים, ברמות המודעות והלא-מודעות, מתוך ראיה אינטגרטיבית עמוקה הניזונה מיכולותיה של רות כמדענית רב-תחומית. נראה שההתייחסות המרכזית היא החיפוש והחיבור של הדברים לצרכים האנושיים העמוקים של האדם המערבי בן זמננו</w:t>
            </w: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, ובמרכזו חיפוש העצמי </w:t>
            </w:r>
            <w:proofErr w:type="spellStart"/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האמיתי-האינדוידואציה</w:t>
            </w:r>
            <w:proofErr w:type="spellEnd"/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, וקונפליקטים מרכזיים כאהבה והרס/מוות. כמו ספריה האיכותיים הקודמים ספר זה נראה לי בעל עניין וערך רב לאנשי המקצוע ולא פחות לאוהב הקולנוע ולקורא המשכיל".   (ד"ר אורי ירון)</w:t>
            </w:r>
          </w:p>
          <w:p w:rsidR="00000000" w:rsidRDefault="003E3F7F">
            <w:pPr>
              <w:bidi/>
              <w:spacing w:line="280" w:lineRule="exact"/>
              <w:ind w:left="462" w:right="1366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000000" w:rsidRDefault="003E3F7F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</w:tc>
      </w:tr>
    </w:tbl>
    <w:p w:rsidR="003E3F7F" w:rsidRDefault="003E3F7F" w:rsidP="006E598A">
      <w:pPr>
        <w:pStyle w:val="NormalWeb"/>
        <w:spacing w:after="240" w:afterAutospacing="0"/>
        <w:rPr>
          <w:sz w:val="28"/>
          <w:szCs w:val="28"/>
        </w:rPr>
      </w:pPr>
      <w:bookmarkStart w:id="0" w:name="_GoBack"/>
      <w:bookmarkEnd w:id="0"/>
    </w:p>
    <w:sectPr w:rsidR="003E3F7F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DC328C"/>
    <w:rsid w:val="003E3F7F"/>
    <w:rsid w:val="006E598A"/>
    <w:rsid w:val="00D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locked/>
    <w:rPr>
      <w:sz w:val="24"/>
      <w:szCs w:val="24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locked/>
    <w:rPr>
      <w:rFonts w:ascii="Tahoma" w:hAnsi="Tahoma" w:cs="Tahoma" w:hint="default"/>
      <w:sz w:val="16"/>
      <w:szCs w:val="16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locked/>
    <w:rPr>
      <w:sz w:val="24"/>
      <w:szCs w:val="24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locked/>
    <w:rPr>
      <w:rFonts w:ascii="Tahoma" w:hAnsi="Tahoma" w:cs="Tahoma" w:hint="default"/>
      <w:sz w:val="16"/>
      <w:szCs w:val="16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2015-07-17T20:34:00Z</dcterms:created>
  <dcterms:modified xsi:type="dcterms:W3CDTF">2015-07-17T20:34:00Z</dcterms:modified>
</cp:coreProperties>
</file>